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jc w:val="center"/>
        <w:rPr>
          <w:rFonts w:ascii="Times New Roman" w:cs="Times New Roman" w:eastAsia="Times New Roman" w:hAnsi="Times New Roman"/>
          <w:b w:val="1"/>
          <w:sz w:val="29"/>
          <w:szCs w:val="29"/>
        </w:rPr>
      </w:pPr>
      <w:r w:rsidDel="00000000" w:rsidR="00000000" w:rsidRPr="00000000">
        <w:rPr>
          <w:rFonts w:ascii="Times New Roman" w:cs="Times New Roman" w:eastAsia="Times New Roman" w:hAnsi="Times New Roman"/>
          <w:b w:val="1"/>
          <w:sz w:val="29"/>
          <w:szCs w:val="29"/>
          <w:rtl w:val="0"/>
        </w:rPr>
        <w:t xml:space="preserve">PS 18X Comprehensive Education Plan (CEP) Goals</w:t>
      </w:r>
    </w:p>
    <w:p w:rsidR="00000000" w:rsidDel="00000000" w:rsidP="00000000" w:rsidRDefault="00000000" w:rsidRPr="00000000" w14:paraId="00000002">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jc w:val="center"/>
        <w:rPr>
          <w:rFonts w:ascii="Times New Roman" w:cs="Times New Roman" w:eastAsia="Times New Roman" w:hAnsi="Times New Roman"/>
          <w:b w:val="1"/>
          <w:sz w:val="29"/>
          <w:szCs w:val="29"/>
        </w:rPr>
      </w:pPr>
      <w:r w:rsidDel="00000000" w:rsidR="00000000" w:rsidRPr="00000000">
        <w:rPr>
          <w:rFonts w:ascii="Times New Roman" w:cs="Times New Roman" w:eastAsia="Times New Roman" w:hAnsi="Times New Roman"/>
          <w:b w:val="1"/>
          <w:sz w:val="29"/>
          <w:szCs w:val="29"/>
          <w:rtl w:val="0"/>
        </w:rPr>
        <w:t xml:space="preserve">2025-2026</w:t>
      </w:r>
    </w:p>
    <w:p w:rsidR="00000000" w:rsidDel="00000000" w:rsidP="00000000" w:rsidRDefault="00000000" w:rsidRPr="00000000" w14:paraId="00000003">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rPr>
          <w:rFonts w:ascii="Roboto" w:cs="Roboto" w:eastAsia="Roboto" w:hAnsi="Roboto"/>
          <w:b w:val="1"/>
          <w:color w:val="505060"/>
          <w:sz w:val="21"/>
          <w:szCs w:val="21"/>
        </w:rPr>
      </w:pPr>
      <w:r w:rsidDel="00000000" w:rsidR="00000000" w:rsidRPr="00000000">
        <w:rPr>
          <w:rtl w:val="0"/>
        </w:rPr>
      </w:r>
    </w:p>
    <w:p w:rsidR="00000000" w:rsidDel="00000000" w:rsidP="00000000" w:rsidRDefault="00000000" w:rsidRPr="00000000" w14:paraId="00000004">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Evidence of our Comprehensive Education Plan (CEP) goals are threaded throughout our PS 18X school community—in academics, attendance, SEL, family engagement, and equity. These goals aren’t just checkboxes; they are why we do what we do. Each highlight, resource, and action step connects back to our commitments:</w:t>
      </w:r>
    </w:p>
    <w:p w:rsidR="00000000" w:rsidDel="00000000" w:rsidP="00000000" w:rsidRDefault="00000000" w:rsidRPr="00000000" w14:paraId="00000005">
      <w:pPr>
        <w:numPr>
          <w:ilvl w:val="0"/>
          <w:numId w:val="1"/>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Strong Instruction &amp; Literacy/Math Growth – classroom practices, interventions, and data cycles.</w:t>
      </w:r>
    </w:p>
    <w:p w:rsidR="00000000" w:rsidDel="00000000" w:rsidP="00000000" w:rsidRDefault="00000000" w:rsidRPr="00000000" w14:paraId="00000006">
      <w:pPr>
        <w:numPr>
          <w:ilvl w:val="0"/>
          <w:numId w:val="1"/>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Whole-Child SEL &amp; Safe, Restorative Culture – routines, supports, and celebrations.</w:t>
      </w:r>
    </w:p>
    <w:p w:rsidR="00000000" w:rsidDel="00000000" w:rsidP="00000000" w:rsidRDefault="00000000" w:rsidRPr="00000000" w14:paraId="00000007">
      <w:pPr>
        <w:numPr>
          <w:ilvl w:val="0"/>
          <w:numId w:val="1"/>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Attendance &amp; Engagement – outreach, incentives, and family partnerships.</w:t>
      </w:r>
    </w:p>
    <w:p w:rsidR="00000000" w:rsidDel="00000000" w:rsidP="00000000" w:rsidRDefault="00000000" w:rsidRPr="00000000" w14:paraId="00000008">
      <w:pPr>
        <w:numPr>
          <w:ilvl w:val="0"/>
          <w:numId w:val="1"/>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Equity &amp; Access – inclusive practices, language access, and targeted support.</w:t>
      </w:r>
    </w:p>
    <w:p w:rsidR="00000000" w:rsidDel="00000000" w:rsidP="00000000" w:rsidRDefault="00000000" w:rsidRPr="00000000" w14:paraId="00000009">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 you read, look for how our work is moving the needle for students and families. Please see the CEP goals (Section 5) below:</w:t>
      </w:r>
    </w:p>
    <w:p w:rsidR="00000000" w:rsidDel="00000000" w:rsidP="00000000" w:rsidRDefault="00000000" w:rsidRPr="00000000" w14:paraId="0000000B">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Section 5: Priority 1: All students learn to read well. ​​</w:t>
      </w:r>
    </w:p>
    <w:p w:rsidR="00000000" w:rsidDel="00000000" w:rsidP="00000000" w:rsidRDefault="00000000" w:rsidRPr="00000000" w14:paraId="0000000D">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literacy for All Students will improve, as measured by a 10% Increase, from 26.5% to 36.5%, of percentage of students scoring on/above grade level on the NYS ELA assessments.</w:t>
      </w:r>
    </w:p>
    <w:p w:rsidR="00000000" w:rsidDel="00000000" w:rsidP="00000000" w:rsidRDefault="00000000" w:rsidRPr="00000000" w14:paraId="0000000E">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literacy for English Language Learners (ELL) will improve, as measured by a 20.8% Increase, from 13.8% to 7%, of percentage of students scoring on/above grade level on the NYS ELA assessments.</w:t>
      </w:r>
    </w:p>
    <w:p w:rsidR="00000000" w:rsidDel="00000000" w:rsidP="00000000" w:rsidRDefault="00000000" w:rsidRPr="00000000" w14:paraId="0000000F">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Section 5: Priority 2: All students are physically and emotionally safe.</w:t>
      </w:r>
      <w:r w:rsidDel="00000000" w:rsidR="00000000" w:rsidRPr="00000000">
        <w:rPr>
          <w:rtl w:val="0"/>
        </w:rPr>
      </w:r>
    </w:p>
    <w:p w:rsidR="00000000" w:rsidDel="00000000" w:rsidP="00000000" w:rsidRDefault="00000000" w:rsidRPr="00000000" w14:paraId="00000011">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By June, 2026, physical and mental wellness for all Students will improve, as measured by a 10% Increase, in percentage of students feeling they are a valued member of the school community in classrooms, sports, and/or other clubs from 68% to 78%, per the Panorama Survey.</w:t>
      </w:r>
    </w:p>
    <w:p w:rsidR="00000000" w:rsidDel="00000000" w:rsidP="00000000" w:rsidRDefault="00000000" w:rsidRPr="00000000" w14:paraId="00000012">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Section 5: Priority 3: All students have a high quality academic experience.</w:t>
      </w:r>
    </w:p>
    <w:p w:rsidR="00000000" w:rsidDel="00000000" w:rsidP="00000000" w:rsidRDefault="00000000" w:rsidRPr="00000000" w14:paraId="00000014">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By June, 2026, the percent of students scoring on/above grade level will Increase by 10% from 22.2% to 32.2%, for All Students, as measured by NYS Math assessment.</w:t>
      </w:r>
    </w:p>
    <w:p w:rsidR="00000000" w:rsidDel="00000000" w:rsidP="00000000" w:rsidRDefault="00000000" w:rsidRPr="00000000" w14:paraId="00000015">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the percentage of ELL students scoring on/above grade level will Increase by 7% from 22% to 32%, for English Language Learners (ELL), as measured by NYS Math exam.</w:t>
      </w:r>
    </w:p>
    <w:p w:rsidR="00000000" w:rsidDel="00000000" w:rsidP="00000000" w:rsidRDefault="00000000" w:rsidRPr="00000000" w14:paraId="00000016">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Section 5: Priority 4: All students graduate college and career ready and have a strong plan and pathway to economic security with the following. </w:t>
      </w:r>
    </w:p>
    <w:p w:rsidR="00000000" w:rsidDel="00000000" w:rsidP="00000000" w:rsidRDefault="00000000" w:rsidRPr="00000000" w14:paraId="00000018">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the percentage of active NYC RISE college savings accounts for All Students will Increase by 10% from 80% to 90% as measured by NYC RISE enrollment reports.</w:t>
      </w:r>
    </w:p>
    <w:p w:rsidR="00000000" w:rsidDel="00000000" w:rsidP="00000000" w:rsidRDefault="00000000" w:rsidRPr="00000000" w14:paraId="00000019">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the percentage of parents/families indicating that school to home on-going communication will increase by 10% from 80% to 90% as measured by NYC School Survey Results.</w:t>
      </w:r>
    </w:p>
    <w:p w:rsidR="00000000" w:rsidDel="00000000" w:rsidP="00000000" w:rsidRDefault="00000000" w:rsidRPr="00000000" w14:paraId="0000001A">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the student enrollment will increase by 5% from 266 students to 279 as measured by the school's register.</w:t>
      </w:r>
    </w:p>
    <w:p w:rsidR="00000000" w:rsidDel="00000000" w:rsidP="00000000" w:rsidRDefault="00000000" w:rsidRPr="00000000" w14:paraId="0000001B">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Attendance/Chronic Absenteeism</w:t>
      </w:r>
    </w:p>
    <w:p w:rsidR="00000000" w:rsidDel="00000000" w:rsidP="00000000" w:rsidRDefault="00000000" w:rsidRPr="00000000" w14:paraId="0000001D">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the chronic absenteeism rate for All Students will decrease by 3%, from 30% to 27%, as measured by the Insight and New Visions chronic absenteeism reports.</w:t>
      </w:r>
    </w:p>
    <w:p w:rsidR="00000000" w:rsidDel="00000000" w:rsidP="00000000" w:rsidRDefault="00000000" w:rsidRPr="00000000" w14:paraId="0000001E">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the chronic absenteeism rate for Students in Temporary Housing (STH) will decrease by 3%, from 28% to 25%, as measured by the Insight and New Visions chronic absenteeism reports.</w:t>
      </w:r>
    </w:p>
    <w:p w:rsidR="00000000" w:rsidDel="00000000" w:rsidP="00000000" w:rsidRDefault="00000000" w:rsidRPr="00000000" w14:paraId="0000001F">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the chronic absenteeism rate for Students with Disabilities (SWD) will decrease by 5%, from 40% to 35%, as measured by the Insight and New Visions chronic absenteeism reports.</w:t>
      </w:r>
    </w:p>
    <w:p w:rsidR="00000000" w:rsidDel="00000000" w:rsidP="00000000" w:rsidRDefault="00000000" w:rsidRPr="00000000" w14:paraId="00000020">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0" w:firstLine="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High Quality Inclusive &amp; Accessible Learning for Students with Disabilities </w:t>
      </w:r>
    </w:p>
    <w:p w:rsidR="00000000" w:rsidDel="00000000" w:rsidP="00000000" w:rsidRDefault="00000000" w:rsidRPr="00000000" w14:paraId="00000022">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to strengthen the quality and implementation of IEPs for Students with Disabilities (SWD), we will improve including a student voice to show statements on strengths, interests and preferences in the IEP present level of performance section (PLOP) by a 70% Increase, from 25% to 95%, as measured by IEP Reviews.</w:t>
      </w:r>
    </w:p>
    <w:p w:rsidR="00000000" w:rsidDel="00000000" w:rsidP="00000000" w:rsidRDefault="00000000" w:rsidRPr="00000000" w14:paraId="00000023">
      <w:pPr>
        <w:numPr>
          <w:ilvl w:val="0"/>
          <w:numId w:val="2"/>
        </w:num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hanging="36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By June 2026, to strengthen the quality and implementation of IEPs for Students with Disabilities (SWD), we will improve IEP fidelity implementation by increasing BIP tracking and monitoring based on identified area of need by a 30% increase, from 65% to 95%, as measured by IEP Reviews.</w:t>
      </w:r>
    </w:p>
    <w:p w:rsidR="00000000" w:rsidDel="00000000" w:rsidP="00000000" w:rsidRDefault="00000000" w:rsidRPr="00000000" w14:paraId="00000024">
      <w:pPr>
        <w:pBdr>
          <w:top w:color="cccccc" w:space="0" w:sz="0" w:val="none"/>
          <w:left w:color="cccccc" w:space="0" w:sz="0" w:val="none"/>
          <w:bottom w:color="cccccc" w:space="0" w:sz="0" w:val="none"/>
          <w:right w:color="cccccc" w:space="0" w:sz="0" w:val="none"/>
          <w:between w:color="cccccc" w:space="0" w:sz="0" w:val="none"/>
        </w:pBdr>
        <w:shd w:fill="ffffff" w:val="clear"/>
        <w:spacing w:after="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jc w:val="left"/>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26">
      <w:pPr>
        <w:jc w:val="left"/>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27">
      <w:pPr>
        <w:jc w:val="left"/>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28">
      <w:pPr>
        <w:jc w:val="left"/>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29">
      <w:pPr>
        <w:jc w:val="center"/>
        <w:rPr>
          <w:rFonts w:ascii="Times New Roman" w:cs="Times New Roman" w:eastAsia="Times New Roman" w:hAnsi="Times New Roman"/>
          <w:b w:val="1"/>
          <w:color w:val="002060"/>
          <w:sz w:val="24"/>
          <w:szCs w:val="24"/>
        </w:rPr>
      </w:pPr>
      <w:r w:rsidDel="00000000" w:rsidR="00000000" w:rsidRPr="00000000">
        <w:rPr>
          <w:rtl w:val="0"/>
        </w:rPr>
      </w:r>
    </w:p>
    <w:p w:rsidR="00000000" w:rsidDel="00000000" w:rsidP="00000000" w:rsidRDefault="00000000" w:rsidRPr="00000000" w14:paraId="0000002A">
      <w:pPr>
        <w:tabs>
          <w:tab w:val="left" w:leader="none" w:pos="4620"/>
        </w:tabs>
        <w:rPr/>
      </w:pPr>
      <w:r w:rsidDel="00000000" w:rsidR="00000000" w:rsidRPr="00000000">
        <w:rPr>
          <w:rtl w:val="0"/>
        </w:rPr>
      </w:r>
    </w:p>
    <w:sectPr>
      <w:headerReference r:id="rId7" w:type="default"/>
      <w:footerReference r:id="rId8" w:type="default"/>
      <w:pgSz w:h="15840" w:w="12240" w:orient="portrait"/>
      <w:pgMar w:bottom="720" w:top="450" w:left="720" w:right="72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Poppins Black">
    <w:embedBold w:fontKey="{00000000-0000-0000-0000-000000000000}" r:id="rId9" w:subsetted="0"/>
    <w:embedBoldItalic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Poppins Black" w:cs="Poppins Black" w:eastAsia="Poppins Black" w:hAnsi="Poppins Black"/>
        <w:b w:val="0"/>
        <w:i w:val="0"/>
        <w:smallCaps w:val="0"/>
        <w:strike w:val="0"/>
        <w:color w:val="002060"/>
        <w:sz w:val="22"/>
        <w:szCs w:val="22"/>
        <w:u w:val="none"/>
        <w:shd w:fill="auto" w:val="clear"/>
        <w:vertAlign w:val="baseline"/>
      </w:rPr>
    </w:pPr>
    <w:r w:rsidDel="00000000" w:rsidR="00000000" w:rsidRPr="00000000">
      <w:rPr>
        <w:rFonts w:ascii="Poppins Black" w:cs="Poppins Black" w:eastAsia="Poppins Black" w:hAnsi="Poppins Black"/>
        <w:b w:val="0"/>
        <w:i w:val="0"/>
        <w:smallCaps w:val="0"/>
        <w:strike w:val="0"/>
        <w:color w:val="000000"/>
        <w:sz w:val="22"/>
        <w:szCs w:val="22"/>
        <w:u w:val="none"/>
        <w:shd w:fill="auto" w:val="clear"/>
        <w:vertAlign w:val="baseline"/>
        <w:rtl w:val="0"/>
      </w:rPr>
      <w:t xml:space="preserve">Vision:  </w:t>
    </w:r>
    <w:r w:rsidDel="00000000" w:rsidR="00000000" w:rsidRPr="00000000">
      <w:rPr>
        <w:rFonts w:ascii="Poppins Black" w:cs="Poppins Black" w:eastAsia="Poppins Black" w:hAnsi="Poppins Black"/>
        <w:b w:val="0"/>
        <w:i w:val="0"/>
        <w:smallCaps w:val="0"/>
        <w:strike w:val="0"/>
        <w:color w:val="8b9593"/>
        <w:sz w:val="24"/>
        <w:szCs w:val="24"/>
        <w:u w:val="none"/>
        <w:shd w:fill="auto" w:val="clear"/>
        <w:vertAlign w:val="baseline"/>
        <w:rtl w:val="0"/>
      </w:rPr>
      <w:t xml:space="preserve">D7 is </w:t>
    </w:r>
    <w:r w:rsidDel="00000000" w:rsidR="00000000" w:rsidRPr="00000000">
      <w:rPr>
        <w:rFonts w:ascii="Poppins Black" w:cs="Poppins Black" w:eastAsia="Poppins Black" w:hAnsi="Poppins Black"/>
        <w:b w:val="0"/>
        <w:i w:val="0"/>
        <w:smallCaps w:val="0"/>
        <w:strike w:val="0"/>
        <w:color w:val="122549"/>
        <w:sz w:val="22"/>
        <w:szCs w:val="22"/>
        <w:u w:val="none"/>
        <w:shd w:fill="auto" w:val="clear"/>
        <w:vertAlign w:val="baseline"/>
        <w:rtl w:val="0"/>
      </w:rPr>
      <w:t xml:space="preserve">the Bridge to Generational Success</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7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30"/>
      <w:gridCol w:w="4050"/>
      <w:gridCol w:w="3410"/>
      <w:tblGridChange w:id="0">
        <w:tblGrid>
          <w:gridCol w:w="3330"/>
          <w:gridCol w:w="4050"/>
          <w:gridCol w:w="3410"/>
        </w:tblGrid>
      </w:tblGridChange>
    </w:tblGrid>
    <w:tr>
      <w:trPr>
        <w:cantSplit w:val="0"/>
        <w:trHeight w:val="1980" w:hRule="atLeast"/>
        <w:tblHeader w:val="0"/>
      </w:trPr>
      <w:tc>
        <w:tcPr>
          <w:tcBorders>
            <w:bottom w:color="8b9593" w:space="0" w:sz="24" w:val="single"/>
          </w:tcBorders>
        </w:tcPr>
        <w:p w:rsidR="00000000" w:rsidDel="00000000" w:rsidP="00000000" w:rsidRDefault="00000000" w:rsidRPr="00000000" w14:paraId="0000002C">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-1901</wp:posOffset>
                </wp:positionH>
                <wp:positionV relativeFrom="paragraph">
                  <wp:posOffset>0</wp:posOffset>
                </wp:positionV>
                <wp:extent cx="1007746" cy="1301672"/>
                <wp:effectExtent b="0" l="0" r="0" t="0"/>
                <wp:wrapNone/>
                <wp:docPr id="159269707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007746" cy="1301672"/>
                        </a:xfrm>
                        <a:prstGeom prst="rect"/>
                        <a:ln/>
                      </pic:spPr>
                    </pic:pic>
                  </a:graphicData>
                </a:graphic>
              </wp:anchor>
            </w:drawing>
          </w:r>
        </w:p>
      </w:tc>
      <w:tc>
        <w:tcPr>
          <w:tcBorders>
            <w:bottom w:color="8b9593" w:space="0" w:sz="24" w:val="single"/>
          </w:tcBorders>
        </w:tcPr>
        <w:p w:rsidR="00000000" w:rsidDel="00000000" w:rsidP="00000000" w:rsidRDefault="00000000" w:rsidRPr="00000000" w14:paraId="0000002D">
          <w:pPr>
            <w:jc w:val="center"/>
            <w:rPr>
              <w:rFonts w:ascii="Poppins" w:cs="Poppins" w:eastAsia="Poppins" w:hAnsi="Poppins"/>
              <w:b w:val="1"/>
              <w:color w:val="122549"/>
              <w:sz w:val="20"/>
              <w:szCs w:val="20"/>
            </w:rPr>
          </w:pPr>
          <w:r w:rsidDel="00000000" w:rsidR="00000000" w:rsidRPr="00000000">
            <w:rPr>
              <w:rFonts w:ascii="Poppins" w:cs="Poppins" w:eastAsia="Poppins" w:hAnsi="Poppins"/>
              <w:b w:val="1"/>
              <w:color w:val="122549"/>
              <w:sz w:val="20"/>
              <w:szCs w:val="20"/>
              <w:rtl w:val="0"/>
            </w:rPr>
            <w:t xml:space="preserve">Principal Anjelica Jordan</w:t>
          </w:r>
        </w:p>
        <w:p w:rsidR="00000000" w:rsidDel="00000000" w:rsidP="00000000" w:rsidRDefault="00000000" w:rsidRPr="00000000" w14:paraId="0000002E">
          <w:pPr>
            <w:jc w:val="cente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Assistant Principal Anwar Zindani</w:t>
          </w:r>
        </w:p>
        <w:p w:rsidR="00000000" w:rsidDel="00000000" w:rsidP="00000000" w:rsidRDefault="00000000" w:rsidRPr="00000000" w14:paraId="0000002F">
          <w:pPr>
            <w:jc w:val="center"/>
            <w:rPr>
              <w:rFonts w:ascii="Poppins" w:cs="Poppins" w:eastAsia="Poppins" w:hAnsi="Poppins"/>
              <w:sz w:val="19"/>
              <w:szCs w:val="19"/>
            </w:rPr>
          </w:pPr>
          <w:r w:rsidDel="00000000" w:rsidR="00000000" w:rsidRPr="00000000">
            <w:rPr>
              <w:rFonts w:ascii="Poppins" w:cs="Poppins" w:eastAsia="Poppins" w:hAnsi="Poppins"/>
              <w:sz w:val="19"/>
              <w:szCs w:val="19"/>
              <w:rtl w:val="0"/>
            </w:rPr>
            <w:t xml:space="preserve">502 Morris Ave, Bronx, NY 10451</w:t>
          </w:r>
        </w:p>
        <w:p w:rsidR="00000000" w:rsidDel="00000000" w:rsidP="00000000" w:rsidRDefault="00000000" w:rsidRPr="00000000" w14:paraId="00000030">
          <w:pPr>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Phone #: 718-292-2868</w:t>
          </w:r>
        </w:p>
        <w:p w:rsidR="00000000" w:rsidDel="00000000" w:rsidP="00000000" w:rsidRDefault="00000000" w:rsidRPr="00000000" w14:paraId="00000031">
          <w:pPr>
            <w:jc w:val="center"/>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Fax #: 718-292-2862</w:t>
          </w:r>
        </w:p>
        <w:p w:rsidR="00000000" w:rsidDel="00000000" w:rsidP="00000000" w:rsidRDefault="00000000" w:rsidRPr="00000000" w14:paraId="00000032">
          <w:pPr>
            <w:jc w:val="center"/>
            <w:rPr/>
          </w:pPr>
          <w:hyperlink r:id="rId2">
            <w:r w:rsidDel="00000000" w:rsidR="00000000" w:rsidRPr="00000000">
              <w:rPr>
                <w:rFonts w:ascii="Poppins" w:cs="Poppins" w:eastAsia="Poppins" w:hAnsi="Poppins"/>
                <w:color w:val="1155cc"/>
                <w:sz w:val="20"/>
                <w:szCs w:val="20"/>
                <w:u w:val="single"/>
                <w:rtl w:val="0"/>
              </w:rPr>
              <w:t xml:space="preserve">www.ps18</w:t>
            </w:r>
          </w:hyperlink>
          <w:hyperlink r:id="rId3">
            <w:r w:rsidDel="00000000" w:rsidR="00000000" w:rsidRPr="00000000">
              <w:rPr>
                <w:color w:val="1155cc"/>
                <w:u w:val="single"/>
                <w:rtl w:val="0"/>
              </w:rPr>
              <w:t xml:space="preserve">bronx.com</w:t>
            </w:r>
          </w:hyperlink>
          <w:r w:rsidDel="00000000" w:rsidR="00000000" w:rsidRPr="00000000">
            <w:rPr>
              <w:rtl w:val="0"/>
            </w:rPr>
          </w:r>
        </w:p>
      </w:tc>
      <w:tc>
        <w:tcPr>
          <w:tcBorders>
            <w:bottom w:color="8b9593" w:space="0" w:sz="24" w:val="single"/>
          </w:tcBorders>
        </w:tcPr>
        <w:p w:rsidR="00000000" w:rsidDel="00000000" w:rsidP="00000000" w:rsidRDefault="00000000" w:rsidRPr="00000000" w14:paraId="00000033">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820344</wp:posOffset>
                </wp:positionH>
                <wp:positionV relativeFrom="paragraph">
                  <wp:posOffset>3175</wp:posOffset>
                </wp:positionV>
                <wp:extent cx="1287747" cy="1258214"/>
                <wp:effectExtent b="0" l="0" r="0" t="0"/>
                <wp:wrapNone/>
                <wp:docPr id="1592697080" name="image2.png"/>
                <a:graphic>
                  <a:graphicData uri="http://schemas.openxmlformats.org/drawingml/2006/picture">
                    <pic:pic>
                      <pic:nvPicPr>
                        <pic:cNvPr id="0" name="image2.png"/>
                        <pic:cNvPicPr preferRelativeResize="0"/>
                      </pic:nvPicPr>
                      <pic:blipFill>
                        <a:blip r:embed="rId4"/>
                        <a:srcRect b="0" l="0" r="0" t="0"/>
                        <a:stretch>
                          <a:fillRect/>
                        </a:stretch>
                      </pic:blipFill>
                      <pic:spPr>
                        <a:xfrm>
                          <a:off x="0" y="0"/>
                          <a:ext cx="1287747" cy="1258214"/>
                        </a:xfrm>
                        <a:prstGeom prst="rect"/>
                        <a:ln/>
                      </pic:spPr>
                    </pic:pic>
                  </a:graphicData>
                </a:graphic>
              </wp:anchor>
            </w:drawing>
          </w:r>
        </w:p>
      </w:tc>
    </w:tr>
  </w:tbl>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4"/>
        <w:szCs w:val="4"/>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3175</wp:posOffset>
          </wp:positionH>
          <wp:positionV relativeFrom="paragraph">
            <wp:posOffset>-1593847</wp:posOffset>
          </wp:positionV>
          <wp:extent cx="5493715" cy="880462"/>
          <wp:effectExtent b="0" l="0" r="0" t="0"/>
          <wp:wrapNone/>
          <wp:docPr id="1592697081"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5493715" cy="880462"/>
                  </a:xfrm>
                  <a:prstGeom prst="rect"/>
                  <a:ln/>
                </pic:spPr>
              </pic:pic>
            </a:graphicData>
          </a:graphic>
        </wp:anchor>
      </w:drawing>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-31748</wp:posOffset>
              </wp:positionH>
              <wp:positionV relativeFrom="paragraph">
                <wp:posOffset>12700</wp:posOffset>
              </wp:positionV>
              <wp:extent cx="0" cy="38100"/>
              <wp:effectExtent b="0" l="0" r="0" t="0"/>
              <wp:wrapNone/>
              <wp:docPr id="1592697078" name=""/>
              <a:graphic>
                <a:graphicData uri="http://schemas.microsoft.com/office/word/2010/wordprocessingShape">
                  <wps:wsp>
                    <wps:cNvCnPr/>
                    <wps:spPr>
                      <a:xfrm>
                        <a:off x="1916365" y="3780000"/>
                        <a:ext cx="6859270" cy="0"/>
                      </a:xfrm>
                      <a:prstGeom prst="straightConnector1">
                        <a:avLst/>
                      </a:prstGeom>
                      <a:noFill/>
                      <a:ln cap="flat" cmpd="sng" w="38100">
                        <a:solidFill>
                          <a:srgbClr val="122543"/>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-31748</wp:posOffset>
              </wp:positionH>
              <wp:positionV relativeFrom="paragraph">
                <wp:posOffset>12700</wp:posOffset>
              </wp:positionV>
              <wp:extent cx="0" cy="38100"/>
              <wp:effectExtent b="0" l="0" r="0" t="0"/>
              <wp:wrapNone/>
              <wp:docPr id="1592697078"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0" cy="381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50506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Roboto" w:cs="Roboto" w:eastAsia="Roboto" w:hAnsi="Roboto"/>
        <w:color w:val="505060"/>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07919"/>
    <w:pPr>
      <w:tabs>
        <w:tab w:val="center" w:pos="4680"/>
        <w:tab w:val="right" w:pos="9360"/>
      </w:tabs>
      <w:spacing w:after="0" w:line="240" w:lineRule="auto"/>
    </w:pPr>
  </w:style>
  <w:style w:type="character" w:styleId="HeaderChar" w:customStyle="1">
    <w:name w:val="Header Char"/>
    <w:basedOn w:val="DefaultParagraphFont"/>
    <w:link w:val="Header"/>
    <w:uiPriority w:val="99"/>
    <w:rsid w:val="00807919"/>
  </w:style>
  <w:style w:type="paragraph" w:styleId="Footer">
    <w:name w:val="footer"/>
    <w:basedOn w:val="Normal"/>
    <w:link w:val="FooterChar"/>
    <w:uiPriority w:val="99"/>
    <w:unhideWhenUsed w:val="1"/>
    <w:rsid w:val="00807919"/>
    <w:pPr>
      <w:tabs>
        <w:tab w:val="center" w:pos="4680"/>
        <w:tab w:val="right" w:pos="9360"/>
      </w:tabs>
      <w:spacing w:after="0" w:line="240" w:lineRule="auto"/>
    </w:pPr>
  </w:style>
  <w:style w:type="character" w:styleId="FooterChar" w:customStyle="1">
    <w:name w:val="Footer Char"/>
    <w:basedOn w:val="DefaultParagraphFont"/>
    <w:link w:val="Footer"/>
    <w:uiPriority w:val="99"/>
    <w:rsid w:val="00807919"/>
  </w:style>
  <w:style w:type="table" w:styleId="TableGrid">
    <w:name w:val="Table Grid"/>
    <w:basedOn w:val="TableNormal"/>
    <w:uiPriority w:val="39"/>
    <w:rsid w:val="004A17B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5C76A3"/>
    <w:rPr>
      <w:color w:val="0563c1" w:themeColor="hyperlink"/>
      <w:u w:val="single"/>
    </w:rPr>
  </w:style>
  <w:style w:type="character" w:styleId="UnresolvedMention">
    <w:name w:val="Unresolved Mention"/>
    <w:basedOn w:val="DefaultParagraphFont"/>
    <w:uiPriority w:val="99"/>
    <w:semiHidden w:val="1"/>
    <w:unhideWhenUsed w:val="1"/>
    <w:rsid w:val="005C76A3"/>
    <w:rPr>
      <w:color w:val="605e5c"/>
      <w:shd w:color="auto" w:fill="e1dfdd" w:val="clear"/>
    </w:rPr>
  </w:style>
  <w:style w:type="table" w:styleId="ListTable4-Accent1">
    <w:name w:val="List Table 4 Accent 1"/>
    <w:basedOn w:val="TableNormal"/>
    <w:uiPriority w:val="49"/>
    <w:rsid w:val="00272E52"/>
    <w:pPr>
      <w:spacing w:after="0" w:line="240" w:lineRule="auto"/>
    </w:pPr>
    <w:tblPr>
      <w:tblStyleRowBandSize w:val="1"/>
      <w:tblStyleColBandSize w:val="1"/>
      <w:tblBorders>
        <w:top w:color="8eaadb" w:space="0" w:sz="4" w:themeColor="accent1" w:themeTint="000099" w:val="single"/>
        <w:left w:color="8eaadb" w:space="0" w:sz="4" w:themeColor="accent1" w:themeTint="000099" w:val="single"/>
        <w:bottom w:color="8eaadb" w:space="0" w:sz="4" w:themeColor="accent1" w:themeTint="000099" w:val="single"/>
        <w:right w:color="8eaadb" w:space="0" w:sz="4" w:themeColor="accent1" w:themeTint="000099" w:val="single"/>
        <w:insideH w:color="8eaadb" w:space="0" w:sz="4" w:themeColor="accent1" w:themeTint="000099" w:val="single"/>
      </w:tblBorders>
    </w:tblPr>
    <w:tblStylePr w:type="firstRow">
      <w:rPr>
        <w:b w:val="1"/>
        <w:bCs w:val="1"/>
        <w:color w:val="ffffff" w:themeColor="background1"/>
      </w:rPr>
      <w:tblPr/>
      <w:tcPr>
        <w:tcBorders>
          <w:top w:color="4472c4" w:space="0" w:sz="4" w:themeColor="accent1" w:val="single"/>
          <w:left w:color="4472c4" w:space="0" w:sz="4" w:themeColor="accent1" w:val="single"/>
          <w:bottom w:color="4472c4" w:space="0" w:sz="4" w:themeColor="accent1" w:val="single"/>
          <w:right w:color="4472c4" w:space="0" w:sz="4" w:themeColor="accent1" w:val="single"/>
          <w:insideH w:space="0" w:sz="0" w:val="nil"/>
        </w:tcBorders>
        <w:shd w:color="auto" w:fill="4472c4" w:themeFill="accent1" w:val="clear"/>
      </w:tcPr>
    </w:tblStylePr>
    <w:tblStylePr w:type="lastRow">
      <w:rPr>
        <w:b w:val="1"/>
        <w:bCs w:val="1"/>
      </w:rPr>
      <w:tblPr/>
      <w:tcPr>
        <w:tcBorders>
          <w:top w:color="8eaadb"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9e2f3" w:themeFill="accent1" w:themeFillTint="000033" w:val="clear"/>
      </w:tcPr>
    </w:tblStylePr>
    <w:tblStylePr w:type="band1Horz">
      <w:tblPr/>
      <w:tcPr>
        <w:shd w:color="auto" w:fill="d9e2f3" w:themeFill="accent1" w:themeFillTint="000033" w:val="clear"/>
      </w:tcPr>
    </w:tblStylePr>
  </w:style>
  <w:style w:type="paragraph" w:styleId="ListParagraph">
    <w:name w:val="List Paragraph"/>
    <w:basedOn w:val="Normal"/>
    <w:uiPriority w:val="34"/>
    <w:qFormat w:val="1"/>
    <w:rsid w:val="00D20E92"/>
    <w:pPr>
      <w:spacing w:after="0" w:line="240" w:lineRule="auto"/>
      <w:ind w:left="720"/>
      <w:contextualSpacing w:val="1"/>
    </w:pPr>
    <w:rPr>
      <w:rFonts w:ascii="Times New Roman" w:cs="Times New Roman" w:eastAsia="Times New Roman" w:hAnsi="Times New Roman"/>
      <w:kern w:val="0"/>
      <w:sz w:val="24"/>
      <w:szCs w:val="24"/>
    </w:rPr>
  </w:style>
  <w:style w:type="paragraph" w:styleId="k3ksmc" w:customStyle="1">
    <w:name w:val="k3ksmc"/>
    <w:basedOn w:val="Normal"/>
    <w:rsid w:val="00AD3BD2"/>
    <w:pPr>
      <w:spacing w:after="100" w:afterAutospacing="1" w:before="100" w:beforeAutospacing="1" w:line="240" w:lineRule="auto"/>
    </w:pPr>
    <w:rPr>
      <w:rFonts w:ascii="Times New Roman" w:cs="Times New Roman" w:eastAsia="Times New Roman" w:hAnsi="Times New Roman"/>
      <w:kern w:val="0"/>
      <w:sz w:val="24"/>
      <w:szCs w:val="24"/>
    </w:rPr>
  </w:style>
  <w:style w:type="character" w:styleId="Strong">
    <w:name w:val="Strong"/>
    <w:basedOn w:val="DefaultParagraphFont"/>
    <w:uiPriority w:val="22"/>
    <w:qFormat w:val="1"/>
    <w:rsid w:val="00AD3BD2"/>
    <w:rPr>
      <w:b w:val="1"/>
      <w:bCs w:val="1"/>
    </w:rPr>
  </w:style>
  <w:style w:type="character" w:styleId="iwy1mb" w:customStyle="1">
    <w:name w:val="iwy1mb"/>
    <w:basedOn w:val="DefaultParagraphFont"/>
    <w:rsid w:val="00AD3BD2"/>
  </w:style>
  <w:style w:type="character" w:styleId="uv3um" w:customStyle="1">
    <w:name w:val="uv3um"/>
    <w:basedOn w:val="DefaultParagraphFont"/>
    <w:rsid w:val="00AD3BD2"/>
  </w:style>
  <w:style w:type="character" w:styleId="FollowedHyperlink">
    <w:name w:val="FollowedHyperlink"/>
    <w:basedOn w:val="DefaultParagraphFont"/>
    <w:uiPriority w:val="99"/>
    <w:semiHidden w:val="1"/>
    <w:unhideWhenUsed w:val="1"/>
    <w:rsid w:val="00AD3BD2"/>
    <w:rPr>
      <w:color w:val="954f72" w:themeColor="followedHyperlink"/>
      <w:u w:val="singl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9e2f3" w:val="clear"/>
      </w:tcPr>
    </w:tblStylePr>
    <w:tblStylePr w:type="band1Vert">
      <w:tcPr>
        <w:shd w:fill="d9e2f3" w:val="clear"/>
      </w:tcPr>
    </w:tblStylePr>
    <w:tblStylePr w:type="firstCol">
      <w:rPr>
        <w:b w:val="1"/>
      </w:rPr>
    </w:tblStylePr>
    <w:tblStylePr w:type="firstRow">
      <w:rPr>
        <w:b w:val="1"/>
        <w:color w:val="ffffff"/>
      </w:rPr>
      <w:tcPr>
        <w:tcBorders>
          <w:top w:color="4472c4" w:space="0" w:sz="4" w:val="single"/>
          <w:left w:color="4472c4" w:space="0" w:sz="4" w:val="single"/>
          <w:bottom w:color="4472c4" w:space="0" w:sz="4" w:val="single"/>
          <w:right w:color="4472c4" w:space="0" w:sz="4" w:val="single"/>
          <w:insideH w:color="000000" w:space="0" w:sz="0" w:val="nil"/>
        </w:tcBorders>
        <w:shd w:fill="4472c4" w:val="clear"/>
      </w:tcPr>
    </w:tblStylePr>
    <w:tblStylePr w:type="lastCol">
      <w:rPr>
        <w:b w:val="1"/>
      </w:rPr>
    </w:tblStylePr>
    <w:tblStylePr w:type="lastRow">
      <w:rPr>
        <w:b w:val="1"/>
      </w:rPr>
      <w:tcPr>
        <w:tcBorders>
          <w:top w:color="8eaadb"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PoppinsBlack-boldItalic.ttf"/><Relationship Id="rId9" Type="http://schemas.openxmlformats.org/officeDocument/2006/relationships/font" Target="fonts/PoppinsBlack-bold.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hyperlink" Target="http://www.ps18bronx.com" TargetMode="External"/><Relationship Id="rId3" Type="http://schemas.openxmlformats.org/officeDocument/2006/relationships/hyperlink" Target="http://www.ps18bronx.com" TargetMode="External"/><Relationship Id="rId4" Type="http://schemas.openxmlformats.org/officeDocument/2006/relationships/image" Target="media/image2.png"/><Relationship Id="rId5"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RZaDDW82u5hJRgd3cLzqeFprw==">CgMxLjA4AHIhMXBWR2VsblBncUxNNmtWSEZ4WDh4UGMydjQwVEFWMTFf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2025-08-03T23:17:00Z</dcterms:created>
  <dc:creator>Arriola Stephanie</dc:creator>
</cp:coreProperties>
</file>