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00.0" w:type="dxa"/>
        <w:jc w:val="left"/>
        <w:tblInd w:w="-877.0" w:type="dxa"/>
        <w:tblLayout w:type="fixed"/>
        <w:tblLook w:val="0600"/>
      </w:tblPr>
      <w:tblGrid>
        <w:gridCol w:w="1575"/>
        <w:gridCol w:w="675"/>
        <w:gridCol w:w="9150"/>
        <w:tblGridChange w:id="0">
          <w:tblGrid>
            <w:gridCol w:w="1575"/>
            <w:gridCol w:w="675"/>
            <w:gridCol w:w="915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PS 18X School Leadership Team Agenda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Tuesday, November 25, 2025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e5e5e5" w:val="clear"/>
                <w:rtl w:val="0"/>
              </w:rPr>
              <w:t xml:space="preserve">3:00 - 4:30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Facilitator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Ms. Jordan &amp; C. Munoz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Note Taker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J. Sanchez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Time Keeper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K. Gonzalez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e5e5e5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e5e5e5" w:val="clear"/>
                <w:rtl w:val="0"/>
              </w:rPr>
              <w:t xml:space="preserve">Attendees: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left="72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DOE Mission: Our Mission at the New York City Public Schools is to ensure that each student graduates on a pathway to a rewarding career and long-term economic security.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left="72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The “why” of this team is to:  </w:t>
            </w:r>
            <w:r w:rsidDel="00000000" w:rsidR="00000000" w:rsidRPr="00000000">
              <w:rPr>
                <w:rFonts w:ascii="Constantia" w:cs="Constantia" w:eastAsia="Constantia" w:hAnsi="Constantia"/>
                <w:i w:val="1"/>
                <w:iCs w:val="1"/>
                <w:rtl w:val="0"/>
              </w:rPr>
              <w:t xml:space="preserve">To ensure that trust, transparency, and teamwork are the pillars for building OUR bright future leaders.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 order to be a high functioning team, we agree to the following norms: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90" w:firstLine="255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In order to be a high functioning team, we agree to the following norms: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Activity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3:00-3:05 PM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Artifacts: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Posting.docx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Action Plan 2025-26 REVISED.docx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a-655-english (3).pdf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Roles and Responsibilities of School and District Leadership Teams October 2024 DCG Vers (1) (1).pptx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Roles and Responsibilities Workbook.docx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By Laws 25.26.docx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protocols-and-timeline-for-title-i-parent-and-family-engagement-activities (1).pdf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school-leadership-monthly-calendar September_2024 (1).docx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Goals One-Pager 2025.26.docx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  <w:color w:val="505050"/>
                <w:sz w:val="23"/>
                <w:szCs w:val="23"/>
                <w:highlight w:val="whit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SLT Attendance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SLT Survey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3:05-3:07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Gathering: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(ice breaker)- </w:t>
            </w:r>
            <w:r w:rsidDel="00000000" w:rsidR="00000000" w:rsidRPr="00000000">
              <w:rPr>
                <w:rFonts w:ascii="Roboto" w:cs="Roboto" w:eastAsia="Roboto" w:hAnsi="Roboto"/>
                <w:color w:val="eef0ff"/>
                <w:sz w:val="24"/>
                <w:szCs w:val="24"/>
                <w:highlight w:val="black"/>
                <w:rtl w:val="0"/>
              </w:rPr>
              <w:t xml:space="preserve">What’s your favorite holiday and why?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3:07-3:10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Norms: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prepared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voices should be heard/shared ideas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patient and extend grace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together (listen to each other)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accountability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on time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Respect everyone’s point of view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open minded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Collaboration to be the Village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3:10-3:15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Review Objective(s) for this meeting: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9"/>
              </w:numPr>
              <w:spacing w:after="0" w:afterAutospacing="0" w:before="24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Utilizing the SLT Calendar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Create a formal agenda on school letterhead that includes each item listed for that month.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Each of the actions associated with an agenda item should be discussed and included in the meeting minutes. Consider using the items as talking points to guide the discussion.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Title I Parent Advisory Council (PAC) chairperson should share the Title I information included with this calendar with the SLT to inform them of their actions for the month. (Refer the Title I PAC guidance at the end of the calendar).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Agendas and minutes are to be accessible prior to the subsequent monthly SLT meeting.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Accessibility of SLT and Title I PAC Meeting Documentation: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following documents should be uploaded to the </w:t>
            </w:r>
            <w:r w:rsidDel="00000000" w:rsidR="00000000" w:rsidRPr="00000000">
              <w:rPr>
                <w:rFonts w:ascii="Calibri" w:cs="Calibri" w:eastAsia="Calibri" w:hAnsi="Calibri"/>
                <w:color w:val="0461c1"/>
                <w:sz w:val="24"/>
                <w:szCs w:val="24"/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0461c1"/>
                  <w:sz w:val="24"/>
                  <w:szCs w:val="24"/>
                  <w:u w:val="single"/>
                  <w:rtl w:val="0"/>
                </w:rPr>
                <w:t xml:space="preserve">iPlan Portal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461c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ensure they are accessible to all SLT members by no later than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ten days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after each SLT and Title I PAC meeting.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sign-in/attendance sheet, agenda, minutes, meeting notifications, email exchanges and dated documentation that directly addresses an agenda item.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Evidence of collaboration and consultation that the CEP was developed with all stakeholders' involvement.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Evidence of the joint development and review of the Parent and Family Engagement Policy and School-Parent Compact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Dated documentation and lists of data sets used to inform a needs assessment or progress monitoring and copies of any surveys or survey data.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9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Uploading Meeting Documentation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Upload SLT and Title I PAC meeting documentation to the appropriate tile on the school’s bod in the iPlan Portal. Refer to the</w:t>
            </w:r>
            <w:hyperlink r:id="rId18">
              <w:r w:rsidDel="00000000" w:rsidR="00000000" w:rsidRPr="00000000">
                <w:rPr>
                  <w:rFonts w:ascii="Calibri" w:cs="Calibri" w:eastAsia="Calibri" w:hAnsi="Calibri"/>
                  <w:sz w:val="24"/>
                  <w:szCs w:val="24"/>
                  <w:rtl w:val="0"/>
                </w:rPr>
                <w:t xml:space="preserve"> </w:t>
              </w:r>
            </w:hyperlink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guidance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 how to upload these items into the iPlan Portal.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3:15-4:25 PM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Review next steps from prior meeting: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Team Member Updates - SEL &amp; Physical Wellness (Equity Design)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Establishing Schoolwide SLT Communications and Channels of Support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Finalizing the 2025-26 Comprehensive Education Plan (CEP) in iPlan (Due by October 25)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Signature Page of iPlan Portal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Progress Monitoring Tool for Goals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Upload SLT Meeting: Documentation to the iPlan Portal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Agenda items: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Team Member Updates 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1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Signing the  2024-25 Comprehensive Education Plan (CEP) SLT/Stakeholder Signature Page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1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Signing the Amended 2024-25 SLT  Bylaws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1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Discussion of Title One - C. Munoz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1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Finalizing the Use of the Title I 1% Set Aside based on </w:t>
            </w:r>
            <w:hyperlink r:id="rId20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u w:val="single"/>
                  <w:rtl w:val="0"/>
                </w:rPr>
                <w:t xml:space="preserve">Needs Assessment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1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Upload SLT Meeting Documentation to the iPlan Portal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12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120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right="120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  <w:u w:val="single"/>
                <w:rtl w:val="0"/>
              </w:rPr>
              <w:t xml:space="preserve">Icebreaker: Favorite Holidays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Participants shared their favorite holidays, highlighting the importance of family, togetherness, and celebration.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Examples: Christmas (family, giving, food), Thanksgiving (coincides with birthday), New Year’s (new milestones), birth-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days, Easter, Halloween, Valentine’s Day, Mother’s Day.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  <w:u w:val="single"/>
                <w:rtl w:val="0"/>
              </w:rPr>
              <w:t xml:space="preserve">Operational Reminders &amp; Norms</w:t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Expectations: Be prepared, share ideas, be patient, extend grace, work collaboratively, respect all voices, be punctual, and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maintain open-mindedness.</w:t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Documentation: Meeting minutes, agendas, and sign-in sheets must be uploaded and accessible via the I Plan portal; ensure</w:t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all members are added to the email list and portal access.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Agenda &amp; Calendar Management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SOT Calendar: Ensure all members are on the calendar and receive formal agendas on school letterhead.</w:t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Title One Parent Advisory Council: Chairperson to share relevant Title One information with the SLT and PAC.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  <w:u w:val="single"/>
                <w:rtl w:val="0"/>
              </w:rPr>
              <w:t xml:space="preserve">Team &amp; Academic Updates</w:t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Student Recognition:</w:t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5"/>
                <w:szCs w:val="15"/>
                <w:highlight w:val="white"/>
                <w:rtl w:val="0"/>
              </w:rPr>
              <w:t xml:space="preserve">Attendance Champions: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Raffles for perfect attendance (prizes: JBL speaker, AirPods).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5"/>
                <w:szCs w:val="15"/>
                <w:highlight w:val="white"/>
                <w:rtl w:val="0"/>
              </w:rPr>
              <w:t xml:space="preserve">Wicked Challenge: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186 students with perfect two-week attendance; winners received themed baskets and movie tickets.</w:t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Events:</w:t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5"/>
                <w:szCs w:val="15"/>
                <w:highlight w:val="white"/>
                <w:rtl w:val="0"/>
              </w:rPr>
              <w:t xml:space="preserve">Friendsgiving: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Successful family and staff gatherings, with staff incentives (parking, gift cards, free prep periods).</w:t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5"/>
                <w:szCs w:val="15"/>
                <w:highlight w:val="white"/>
                <w:rtl w:val="0"/>
              </w:rPr>
              <w:t xml:space="preserve">Upcoming Events: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December holiday baskets, Spirit Week, Winter Riches, holiday dance, breakfast with staff, cocoa &amp;</w:t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cookies, and Christmas shows.</w:t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Academic Initiatives:</w:t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Walkthroughs for NYC Reads and Solves; focus on improving student engagement and questioning techniques.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5"/>
                <w:szCs w:val="15"/>
                <w:highlight w:val="white"/>
                <w:rtl w:val="0"/>
              </w:rPr>
              <w:t xml:space="preserve">Professional Development: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Upcoming PD on explicit vocabulary instruction.</w:t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5"/>
                <w:szCs w:val="15"/>
                <w:highlight w:val="white"/>
                <w:rtl w:val="0"/>
              </w:rPr>
              <w:t xml:space="preserve">Lesson Study: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Teachers collaboratively plan and deliver lessons to strengthen instructional focus.</w:t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  <w:u w:val="single"/>
                <w:rtl w:val="0"/>
              </w:rPr>
              <w:t xml:space="preserve">Title One Fund Discussion</w:t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Purpose &amp; Eligibility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Goal: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Ensure all students have access to high-quality education and support.</w:t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School Status: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Title One schoolwide program—funds benefit all students, not just targeted groups.</w:t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Parent Surveys: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Used to assess needs and justify funding allocation (e.g., uniforms, supplies, workshops).</w:t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Needs Assessment Highlights</w:t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Parent Priorities:</w:t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Uniforms and school supplies</w:t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After-school tutoring</w:t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More after-school and parent activities</w:t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Bullying prevention, school safety, and mental health workshops</w:t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Parent literacy and support workshops</w:t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Community resources and a community closet/thrift shop for clothing needs</w:t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Deliberation &amp; Voting Process</w:t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Key Points Raised:</w:t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Uniforms and tutoring are top priorities for immediate impact.</w:t>
            </w:r>
          </w:p>
          <w:p w:rsidR="00000000" w:rsidDel="00000000" w:rsidP="00000000" w:rsidRDefault="00000000" w:rsidRPr="00000000" w14:paraId="0000008B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Workshop attendance is low; need to find ways to increase parent engagement.</w:t>
            </w:r>
          </w:p>
          <w:p w:rsidR="00000000" w:rsidDel="00000000" w:rsidP="00000000" w:rsidRDefault="00000000" w:rsidRPr="00000000" w14:paraId="0000008C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Suggestion to combine parent workshops with family bonding activities for higher turnout.</w:t>
            </w:r>
          </w:p>
          <w:p w:rsidR="00000000" w:rsidDel="00000000" w:rsidP="00000000" w:rsidRDefault="00000000" w:rsidRPr="00000000" w14:paraId="0000008D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Consideration for students with special needs (sensory accommodations, separate events).</w:t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Community Closet initiative underway for clothing support.</w:t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Voting Results:</w:t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Top Priority: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Family bonding events (arts &amp; crafts, affirmations, vision boards, movie nights) via Radiant Pathways—</w:t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unanimous support.</w:t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Second Priority: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After-school tutoring—broad support.</w:t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Other Considerations: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Bullying prevention, mental health workshops, parent education, but vendor and attendance challenges noted.</w:t>
            </w:r>
          </w:p>
          <w:p w:rsidR="00000000" w:rsidDel="00000000" w:rsidP="00000000" w:rsidRDefault="00000000" w:rsidRPr="00000000" w14:paraId="0000009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Fund Allocation Decision</w:t>
            </w:r>
          </w:p>
          <w:p w:rsidR="00000000" w:rsidDel="00000000" w:rsidP="00000000" w:rsidRDefault="00000000" w:rsidRPr="00000000" w14:paraId="00000096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Funds: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$3,976 available (1% Title One allocation)</w:t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Plan: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Split funds between family bonding events and after-school tutoring.</w:t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5"/>
                <w:szCs w:val="15"/>
                <w:highlight w:val="white"/>
                <w:rtl w:val="0"/>
              </w:rPr>
              <w:t xml:space="preserve">Trial Run: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Start with one family event after school; if successful, consider more.</w:t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5"/>
                <w:szCs w:val="15"/>
                <w:highlight w:val="white"/>
                <w:rtl w:val="0"/>
              </w:rPr>
              <w:t xml:space="preserve">Tutoring Expansion: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Use funds to broaden tutoring beyond current targeted students.</w:t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Action Items:</w:t>
            </w:r>
          </w:p>
          <w:p w:rsidR="00000000" w:rsidDel="00000000" w:rsidP="00000000" w:rsidRDefault="00000000" w:rsidRPr="00000000" w14:paraId="0000009B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Confirm vendor eligibility for workshops and events.</w:t>
            </w:r>
          </w:p>
          <w:p w:rsidR="00000000" w:rsidDel="00000000" w:rsidP="00000000" w:rsidRDefault="00000000" w:rsidRPr="00000000" w14:paraId="0000009C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Organize the first family bonding event as a test case.</w:t>
            </w:r>
          </w:p>
          <w:p w:rsidR="00000000" w:rsidDel="00000000" w:rsidP="00000000" w:rsidRDefault="00000000" w:rsidRPr="00000000" w14:paraId="0000009D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Collect parent commitments to ensure attendance.</w:t>
            </w:r>
          </w:p>
          <w:p w:rsidR="00000000" w:rsidDel="00000000" w:rsidP="00000000" w:rsidRDefault="00000000" w:rsidRPr="00000000" w14:paraId="0000009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Action Items &amp; Next Steps</w:t>
            </w:r>
          </w:p>
          <w:p w:rsidR="00000000" w:rsidDel="00000000" w:rsidP="00000000" w:rsidRDefault="00000000" w:rsidRPr="00000000" w14:paraId="000000A0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Documentation: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Complete and sign Title One allocation and spending forms; upload to portal.</w:t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Event Planning: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Schedule and promote first family bonding event; gather feedback for future planning.</w:t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Tutoring: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Expand access and communicate opportunities to parents and students.</w:t>
            </w:r>
          </w:p>
          <w:p w:rsidR="00000000" w:rsidDel="00000000" w:rsidP="00000000" w:rsidRDefault="00000000" w:rsidRPr="00000000" w14:paraId="000000A3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Parent Communication: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Increase awareness of available resources (e.g., laundry cards, community closet).</w:t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highlight w:val="white"/>
                <w:rtl w:val="0"/>
              </w:rPr>
              <w:t xml:space="preserve">Continuous Improvement: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  <w:rtl w:val="0"/>
              </w:rPr>
              <w:t xml:space="preserve">Monitor attendance and impact of events; adjust future allocations as needed.</w:t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right="120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right="120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right="120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4:25-4:30 PM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Next steps: 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Team Member Updates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right="-9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CEP Progress Monitoring and Continuous Improvement Planning for </w:t>
              <w:br w:type="textWrapping"/>
              <w:t xml:space="preserve">Period 1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Title I Parent Advisory Council (PAC) Updates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Upload SLT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right="54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Documentation to the iPlan Portal</w:t>
            </w:r>
          </w:p>
        </w:tc>
      </w:tr>
    </w:tbl>
    <w:p w:rsidR="00000000" w:rsidDel="00000000" w:rsidP="00000000" w:rsidRDefault="00000000" w:rsidRPr="00000000" w14:paraId="000000B1">
      <w:pPr>
        <w:widowControl w:val="0"/>
        <w:spacing w:line="276" w:lineRule="auto"/>
        <w:ind w:left="720"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76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2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nstanti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spreadsheets/d/14jQHW0DDac7Lke2ODzmWORgX2nn7D1f6OPrhpo6xXBI/edit?usp=sharing" TargetMode="External"/><Relationship Id="rId11" Type="http://schemas.openxmlformats.org/officeDocument/2006/relationships/hyperlink" Target="https://docs.google.com/document/d/1jnUsITUy6QUxTdfFLOVCT6nY0LPb0KXL/edit?usp=drive_link&amp;ouid=111467192569344159973&amp;rtpof=true&amp;sd=true" TargetMode="External"/><Relationship Id="rId10" Type="http://schemas.openxmlformats.org/officeDocument/2006/relationships/hyperlink" Target="https://docs.google.com/document/d/1K08OiTlplIfVlm01wtoUdXlO1jeHj14e/edit?usp=drive_link&amp;ouid=111467192569344159973&amp;rtpof=true&amp;sd=true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docs.google.com/document/d/1izSI96_L9VGc5PKyxU6tbN-pSulDdY3x/edit?usp=sharing&amp;ouid=111467192569344159973&amp;rtpof=true&amp;sd=true" TargetMode="External"/><Relationship Id="rId12" Type="http://schemas.openxmlformats.org/officeDocument/2006/relationships/hyperlink" Target="https://drive.google.com/file/d/1teK04EzoU-ZhPs6-w5JL8baeFzFr-DAp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presentation/d/1OyrVRoHXLWiIh0sK9EoGiGSdqzM5BfkK/edit?usp=drive_link&amp;ouid=111467192569344159973&amp;rtpof=true&amp;sd=true" TargetMode="External"/><Relationship Id="rId15" Type="http://schemas.openxmlformats.org/officeDocument/2006/relationships/hyperlink" Target="https://docs.google.com/forms/d/e/1FAIpQLSc6CcGmzI-LVmF4Vkgh0bfVmy0RhGiib-5LX9r5BpO-zkIYSA/viewform?usp=header" TargetMode="External"/><Relationship Id="rId14" Type="http://schemas.openxmlformats.org/officeDocument/2006/relationships/hyperlink" Target="https://docs.google.com/document/d/1pVGelnPgqLM6kVHFxX8xPc2v40TAV11_/edit?usp=sharing&amp;ouid=111467192569344159973&amp;rtpof=true&amp;sd=true" TargetMode="External"/><Relationship Id="rId17" Type="http://schemas.openxmlformats.org/officeDocument/2006/relationships/hyperlink" Target="http://iplanportal.com/" TargetMode="External"/><Relationship Id="rId16" Type="http://schemas.openxmlformats.org/officeDocument/2006/relationships/hyperlink" Target="https://docs.google.com/forms/d/e/1FAIpQLSfDuZAuoWcGALwmBVE5uc_j5AIDez5tbAjmnjfqaFKZ5_NqpQ/viewform?usp=header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iplanportal.com/publicresources/detail?id=1456" TargetMode="External"/><Relationship Id="rId6" Type="http://schemas.openxmlformats.org/officeDocument/2006/relationships/hyperlink" Target="https://docs.google.com/document/d/1FoXqA0oBaT659b9ryY2AQzCfFCQHxgRJ/edit?usp=drive_link&amp;ouid=111467192569344159973&amp;rtpof=true&amp;sd=true" TargetMode="External"/><Relationship Id="rId18" Type="http://schemas.openxmlformats.org/officeDocument/2006/relationships/hyperlink" Target="https://www.iplanportal.com/publicresources/detail?id=1456" TargetMode="External"/><Relationship Id="rId7" Type="http://schemas.openxmlformats.org/officeDocument/2006/relationships/hyperlink" Target="https://docs.google.com/document/d/1hFNWMjPjeEbTtDb-lNFbaE7jHbyi8eWC/edit?usp=drive_link&amp;ouid=111467192569344159973&amp;rtpof=true&amp;sd=true" TargetMode="External"/><Relationship Id="rId8" Type="http://schemas.openxmlformats.org/officeDocument/2006/relationships/hyperlink" Target="https://drive.google.com/file/d/1CNApyzQDMt2FtzDjjN-O7VFNM45A5lB_/view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nstantia-regular.ttf"/><Relationship Id="rId6" Type="http://schemas.openxmlformats.org/officeDocument/2006/relationships/font" Target="fonts/Constantia-bold.ttf"/><Relationship Id="rId7" Type="http://schemas.openxmlformats.org/officeDocument/2006/relationships/font" Target="fonts/Constantia-italic.ttf"/><Relationship Id="rId8" Type="http://schemas.openxmlformats.org/officeDocument/2006/relationships/font" Target="fonts/Constanti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